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635" w14:textId="77777777" w:rsidR="000A64B1" w:rsidRDefault="004A551C" w:rsidP="001A34BC">
      <w:pPr>
        <w:spacing w:after="60" w:line="240" w:lineRule="auto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proofErr w:type="spellStart"/>
      <w:r w:rsidRPr="00005782">
        <w:rPr>
          <w:rFonts w:ascii="Gill Sans MT" w:eastAsia="Times New Roman" w:hAnsi="Gill Sans MT" w:cs="Arial"/>
          <w:b/>
          <w:bCs/>
          <w:color w:val="000000"/>
          <w:sz w:val="16"/>
          <w:szCs w:val="16"/>
          <w:lang w:eastAsia="cs-CZ"/>
        </w:rPr>
        <w:t>Kvitlech</w:t>
      </w:r>
      <w:proofErr w:type="spellEnd"/>
      <w:r w:rsidR="001A34BC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nebo také 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Quitlok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, 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Kvitlach</w:t>
      </w:r>
      <w:proofErr w:type="spellEnd"/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p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ro 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samotné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karty 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byl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také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používán název 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Quitli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 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Jde o s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tar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ou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karetní 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hazardní hr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u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typu 21 (Oko, Blackjack)</w:t>
      </w:r>
      <w:r w:rsidR="00005782" w:rsidRP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původem 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zřejmě 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z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Haliče, pocházející z počátku 19. století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 Hra byla</w:t>
      </w:r>
      <w:r w:rsidR="00005782" w:rsidRP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005782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široce rozšířena</w:t>
      </w:r>
      <w:r w:rsidR="00005782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ve středoevropské židovské komunitě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 Byla oblíbenou zábavou v rámci oslav svátku Chanuka.</w:t>
      </w:r>
    </w:p>
    <w:p w14:paraId="0CF32E5C" w14:textId="52DC2FEE" w:rsidR="004A551C" w:rsidRPr="008723C4" w:rsidRDefault="004A551C" w:rsidP="001A34BC">
      <w:pPr>
        <w:spacing w:after="6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Hrávalo se s různými typy sad karetního listu, často domácí výroby. Původní název </w:t>
      </w:r>
      <w:proofErr w:type="spellStart"/>
      <w:r w:rsidRPr="00005782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קוויטלך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v jidiš znamená štítky nebo lístky.</w:t>
      </w:r>
    </w:p>
    <w:p w14:paraId="68463E49" w14:textId="77777777" w:rsidR="004A551C" w:rsidRPr="008723C4" w:rsidRDefault="004A551C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69D05F91" w14:textId="77777777" w:rsidR="004A551C" w:rsidRPr="008723C4" w:rsidRDefault="004A551C" w:rsidP="001A34BC">
      <w:pPr>
        <w:spacing w:after="0" w:line="240" w:lineRule="auto"/>
        <w:ind w:left="1410" w:hanging="1410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Počet hráčů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obvykle nejméně 5 hráčů, jeden je bankéřem</w:t>
      </w:r>
    </w:p>
    <w:p w14:paraId="6E224984" w14:textId="77777777" w:rsidR="008239F7" w:rsidRDefault="004A551C" w:rsidP="001A34BC">
      <w:pPr>
        <w:spacing w:after="0" w:line="240" w:lineRule="auto"/>
        <w:ind w:left="1410" w:hanging="1410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Karty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2x balíček číslovaných karet 1-12, tedy 24 ks</w:t>
      </w:r>
    </w:p>
    <w:p w14:paraId="683188E9" w14:textId="24DDDADE" w:rsidR="004A551C" w:rsidRPr="008723C4" w:rsidRDefault="004A551C" w:rsidP="008239F7">
      <w:pPr>
        <w:spacing w:after="0" w:line="240" w:lineRule="auto"/>
        <w:ind w:left="1410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dvojky a jedenáctky s ozdobným okrajem</w:t>
      </w:r>
    </w:p>
    <w:p w14:paraId="00A5E550" w14:textId="77777777" w:rsidR="008723C4" w:rsidRPr="008723C4" w:rsidRDefault="008723C4" w:rsidP="001A34BC">
      <w:pPr>
        <w:spacing w:after="0" w:line="240" w:lineRule="auto"/>
        <w:ind w:left="1410" w:hanging="1410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4F5E468F" w14:textId="77777777" w:rsidR="004A551C" w:rsidRPr="008723C4" w:rsidRDefault="004A551C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6EC5B5B6" w14:textId="77777777" w:rsidR="004A551C" w:rsidRPr="008239F7" w:rsidRDefault="004A551C" w:rsidP="008239F7">
      <w:pPr>
        <w:pStyle w:val="Nadpis1"/>
      </w:pPr>
      <w:r w:rsidRPr="008239F7">
        <w:t>0. Cíl hry</w:t>
      </w:r>
    </w:p>
    <w:p w14:paraId="31D8F82F" w14:textId="3A45034C" w:rsidR="004A551C" w:rsidRPr="008723C4" w:rsidRDefault="00550754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0.1</w:t>
      </w:r>
      <w:r w:rsidR="001A34BC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4A551C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Dosáhnout součtem hodnot na kartách co nejblíže k 21, nesmí dojít k překročení </w:t>
      </w:r>
    </w:p>
    <w:p w14:paraId="6BB600A8" w14:textId="0FE52CC0" w:rsidR="004A551C" w:rsidRPr="008723C4" w:rsidRDefault="00550754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0.2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4A551C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Vyhrát vložené peníze + peníze z banku</w:t>
      </w:r>
    </w:p>
    <w:p w14:paraId="6D108CF5" w14:textId="77777777" w:rsidR="008723C4" w:rsidRPr="008723C4" w:rsidRDefault="008723C4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11C79123" w14:textId="538C29C9" w:rsidR="004A551C" w:rsidRPr="008723C4" w:rsidRDefault="004A551C" w:rsidP="008239F7">
      <w:pPr>
        <w:pStyle w:val="Nadpis1"/>
      </w:pPr>
      <w:r w:rsidRPr="008723C4">
        <w:t>1. Určení bankéře / Rozdání</w:t>
      </w:r>
    </w:p>
    <w:p w14:paraId="3017A64F" w14:textId="7CAA1A9B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Všichni sejmou po jedné kartě, nejvyšší hodnota určí bankéře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16540031" w14:textId="24CBB1E8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Pozice bankéře se mění v případě odchodu bankéře nebo při rozbití banku (viz. pravidla 4)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F9802F6" w14:textId="3C4F1BB3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1.2.1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Pozice bankéře se posouvá proti směru </w:t>
      </w:r>
      <w:r w:rsidRP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hodinových ručiček</w:t>
      </w:r>
      <w:r w:rsidR="00F66F9E" w:rsidRP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(viz. 4.2).</w:t>
      </w:r>
    </w:p>
    <w:p w14:paraId="75B662D1" w14:textId="60A95EBA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1.3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Bankéř založí bank základním vkladem dle svého uvážení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70F9E8C1" w14:textId="5CA3EAA6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1.3.1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Obvyklá částka může být 100 Kč</w:t>
      </w:r>
      <w:r w:rsidR="008723C4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/ 100 buráků / krabička zápalek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3E6325A1" w14:textId="176DBD6C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1.4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Bankéř rozdá každému jednu kartu, včetně sebe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7CA77284" w14:textId="680886EA" w:rsidR="004A551C" w:rsidRPr="008723C4" w:rsidRDefault="004A551C" w:rsidP="00D842D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1.4.1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Rozdání probíhá po směru hodinových ručiček, další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kolo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proti směru. Dál se směr rozdávání střídá pravidelně (viz. 3.6.1)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AA55871" w14:textId="77777777" w:rsidR="008723C4" w:rsidRPr="008723C4" w:rsidRDefault="008723C4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61988B7B" w14:textId="77777777" w:rsidR="004A551C" w:rsidRPr="008723C4" w:rsidRDefault="004A551C" w:rsidP="008239F7">
      <w:pPr>
        <w:pStyle w:val="Nadpis1"/>
        <w:rPr>
          <w:rFonts w:cs="Times New Roman"/>
        </w:rPr>
      </w:pPr>
      <w:r w:rsidRPr="008723C4">
        <w:t>2. Sehrávka</w:t>
      </w:r>
    </w:p>
    <w:p w14:paraId="342BC773" w14:textId="2A2C9F11" w:rsidR="004A551C" w:rsidRPr="008723C4" w:rsidRDefault="004A551C" w:rsidP="00961BD7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Hráči, kromě bankéře, se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postupně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střídají; žádají o karty a podávají sázky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0E8F517C" w14:textId="60203CE8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Karty se započítávají hodnotou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která je na nich uvedena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B35B932" w14:textId="676C192D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2.2.1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Kartu s číslem 12 lze počítat jako 9, dle rozhodnutí hráče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70E8104" w14:textId="735E0162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2.2.2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Kdo získá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první dvě karty s ozdobným okrajem (2, 11) počítají se za součet 21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127845BB" w14:textId="539E9DAE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2.2.3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V případě, že součet karet hráče dosáhne 11, tento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ohlásí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r w:rsidR="00961BD7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jedenáct”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(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aluvun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”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)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a je chráněn před prohrou s příští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dobranou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kartou. Pokud je příští karta 11 může ji odmítnout.</w:t>
      </w:r>
    </w:p>
    <w:p w14:paraId="2B17D128" w14:textId="4FCD8192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2.2.3.1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Toto pravidlo neplatí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pokud je hned první karta 11, protože s druhou 11 je součet 21 (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viz.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2.2.2)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BBFA42D" w14:textId="77777777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2.3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Pokud je hráč na řadě má jednu ze tří možností:</w:t>
      </w:r>
    </w:p>
    <w:p w14:paraId="120A387A" w14:textId="3634985D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2.3.1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Požádat o 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blot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”: Dostat od bankéře kartu lícem nahoru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D2569E7" w14:textId="659D7E1D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2.3.2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Vsadit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(sirky, peníze)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a dostat od bankéře kartu lícem dolů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0F5C84A2" w14:textId="65FC1A17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2.3.2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Hrát s kartami, které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již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má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 Hlásí „zůstávám“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6B58F9CA" w14:textId="316910B9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2.4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Může žádat o libovoln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ý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počet karet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pokud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jejich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součet nepřesáhne 21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F73AA66" w14:textId="750ADEB3" w:rsidR="004A551C" w:rsidRPr="008723C4" w:rsidRDefault="004A551C" w:rsidP="00523728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2.5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Kdo dobírá karty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pouze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jako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blot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” ne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může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nic vyhrát ani prohrát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35CFA2D" w14:textId="470EC185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2.6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Při sázce (dle 2.3.2)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bankéř oddělí z banku stejnou částku, přidá ji k sázce a vydá kartu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hráči novou kartu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0F65223" w14:textId="1C22E2E9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2.6.1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Nejvyšší možná sázka je limitována aktuální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výší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zbývajícího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4B9CE9F" w14:textId="0167C516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2.6.2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Kdokoliv umístí nebo zvýší sázku musí obdržet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novou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kartu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73895A9" w14:textId="552B4AC8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2.7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Kdo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překročí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součtem svých karet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21, hned končí a karty lícem dolů odloží. Všechny vsazené peníze se přesouvají do banku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0D23D73" w14:textId="732E0678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2.8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Kdo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dosáhnete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součtem svých karet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21, karty předloží viditelně bankéři. Bere své peníze a stejnou částku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oddělenou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z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5C8C4270" w14:textId="47BB0D40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2.9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Pokud hráč 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zůstává</w:t>
      </w:r>
      <w:r w:rsidR="00961BD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“ (viz.2.3.2)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 je na řadě další hráč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0BDD9E7A" w14:textId="57BF3225" w:rsidR="004A551C" w:rsidRPr="008723C4" w:rsidRDefault="004A551C" w:rsidP="004A551C">
      <w:pPr>
        <w:spacing w:after="0" w:line="240" w:lineRule="auto"/>
        <w:ind w:left="567" w:hanging="567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2.10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Pokud sázka hráče vyrovná zbývající peníze v banku, může 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žádat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další karty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ale již nemůže sázet. 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Jestliže hráč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ukončí dobírání karet</w:t>
      </w:r>
      <w:r w:rsidR="0033092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aniž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překroč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il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21</w:t>
      </w:r>
      <w:r w:rsidR="0033092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začíná hrát bankéř.</w:t>
      </w:r>
    </w:p>
    <w:p w14:paraId="5015755A" w14:textId="77777777" w:rsidR="004A551C" w:rsidRPr="008723C4" w:rsidRDefault="004A551C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6243DF07" w14:textId="77777777" w:rsidR="004A551C" w:rsidRPr="008723C4" w:rsidRDefault="004A551C" w:rsidP="008239F7">
      <w:pPr>
        <w:pStyle w:val="Nadpis1"/>
        <w:rPr>
          <w:rFonts w:cs="Times New Roman"/>
        </w:rPr>
      </w:pPr>
      <w:r w:rsidRPr="008723C4">
        <w:t>3. Hra bankéře / Vypořádání sázek</w:t>
      </w:r>
    </w:p>
    <w:p w14:paraId="60CFE782" w14:textId="62122171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Bankéř začíná hrát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pokud si již žádný hráč nežádá nové karty nebo je dorovnán celý bank (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viz.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2.10)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2F14982" w14:textId="3C1F66AB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Bankéř má jednu kartu z rozdávání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(1.4)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a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 té dobírá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další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1D9DCD8E" w14:textId="77777777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3.3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Karty dobírá zakryté nebo odkryté, dle své volby, dokud chce</w:t>
      </w:r>
    </w:p>
    <w:p w14:paraId="49E38572" w14:textId="1BB27EAC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3.4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Pokud bankéř nechce další karty dobírat (má 21 nebo méně) ukáže je ostatním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38833D7B" w14:textId="77777777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3.5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U hráčů s dosud otevřenými sázkami se:</w:t>
      </w:r>
    </w:p>
    <w:p w14:paraId="1DDA7413" w14:textId="59AD3A43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3.5.1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Hráč, který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m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á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vyšší součet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karet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(blíže 21) než bankéř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obdrží svou částku +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oddělené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peníze z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60A3AEF4" w14:textId="5771843A" w:rsidR="004A551C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3.5.2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Hráč, který má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součet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svých karet </w:t>
      </w:r>
      <w:r w:rsidR="00523728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stejný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nebo nižší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ztrácí své p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e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níze ve prospěch banku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38EA7B2A" w14:textId="3BCDCE59" w:rsidR="008239F7" w:rsidRPr="008723C4" w:rsidRDefault="008239F7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3.6</w:t>
      </w:r>
      <w:r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Pokud bankéř dobíráním přesáhne 21 hráči získávají vsazené peníze zpět včetně stejné částky z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banku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027BAD5F" w14:textId="46EBD8C2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7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Pokud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po vyrovnání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sáz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e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zbývají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ještě hráči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 kteří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neměli možnost v tomto kole hrát a v banku jsou stále nějaké peníze (bankéř nějaké právě vyhrál)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kolo pokračuje.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ankéř si 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dobere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novou kartu a hra pokračuje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5DB6CA1C" w14:textId="1D92E0CE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7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Pokud již všichni hráli bankéř rozdá nové kolo, v druhém směru než právě skončené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87481A5" w14:textId="5CF39400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3.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8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Všechny odložené karty (někdo dosáhl 21 nebo překročil) bankéř průběžně sbírá a ukládá lícem nahoru zespodu herního balíčku</w:t>
      </w:r>
      <w:r w:rsidR="0033092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389E6FE2" w14:textId="6DE61D4C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lastRenderedPageBreak/>
        <w:t>3.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8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Ve chvíli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kdy při rozdávání karet narazí na poslední nerozdanou 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(lícem dolů)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kartu, 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t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uto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srovná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s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ostatními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zamíchá a vytvoř</w:t>
      </w:r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í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nový </w:t>
      </w:r>
      <w:proofErr w:type="spellStart"/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dobírací</w:t>
      </w:r>
      <w:proofErr w:type="spellEnd"/>
      <w:r w:rsidR="00523728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balíček. Hra pokračuje dál.</w:t>
      </w:r>
    </w:p>
    <w:p w14:paraId="3136FBE2" w14:textId="243EBFC5" w:rsidR="004A551C" w:rsidRPr="008723C4" w:rsidRDefault="004A551C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2569CB38" w14:textId="77777777" w:rsidR="004A551C" w:rsidRPr="008723C4" w:rsidRDefault="004A551C" w:rsidP="008239F7">
      <w:pPr>
        <w:pStyle w:val="Nadpis1"/>
        <w:rPr>
          <w:rFonts w:cs="Times New Roman"/>
        </w:rPr>
      </w:pPr>
      <w:r w:rsidRPr="008723C4">
        <w:t>4. Změna bankéře</w:t>
      </w:r>
    </w:p>
    <w:p w14:paraId="66A5ED12" w14:textId="77777777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Ke změně bankéře může dojít dvěma způsoby:</w:t>
      </w:r>
    </w:p>
    <w:p w14:paraId="0684C18E" w14:textId="3E4147CB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Odstoupení bankéře</w:t>
      </w:r>
    </w:p>
    <w:p w14:paraId="2E021B49" w14:textId="41E67652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Jestliže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bankéř úspěšně ukončí třetí 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kolo hry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může odstoupit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pokud si rozdá jako první kartu 4 nebo 7.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Ukáže jí ostatním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1DD89ED" w14:textId="6284D13C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.1.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K tomu může dojít i uprostřed hry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,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pokud dojde k vyrovnání sázek a dobrání nové karty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(dle 3.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7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).</w:t>
      </w:r>
    </w:p>
    <w:p w14:paraId="4B010ABC" w14:textId="43882D9E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.1.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Odchod musí být proveden bezprostředně po dobrání karty, před dalším pokračováním ve hře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0205ACA3" w14:textId="72C5C7FF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.1.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Bankéř bere všechny peníze, které jsou momentálně v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banku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EBC90A1" w14:textId="4E7929E4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1.2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>Dojde k rozebrání všech peněz v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 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banku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130538CD" w14:textId="78A7F447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4.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Pozice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bankéře přechází na hráče po jeho pravici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(viz.1.2.1)</w:t>
      </w:r>
      <w:r w:rsidR="00F66F9E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42160C7D" w14:textId="77777777" w:rsidR="008723C4" w:rsidRPr="008723C4" w:rsidRDefault="008723C4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7C9D9AB5" w14:textId="77777777" w:rsidR="004A551C" w:rsidRPr="008723C4" w:rsidRDefault="004A551C" w:rsidP="008239F7">
      <w:pPr>
        <w:pStyle w:val="Nadpis1"/>
        <w:rPr>
          <w:rFonts w:cs="Times New Roman"/>
        </w:rPr>
      </w:pPr>
      <w:r w:rsidRPr="008723C4">
        <w:t>5. Terminologie</w:t>
      </w:r>
    </w:p>
    <w:p w14:paraId="4544FC3A" w14:textId="77777777" w:rsidR="004A551C" w:rsidRPr="008723C4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5.0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Použité termíny vznikly volným překladem informací Johna 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McLeoda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(viz. 6.1)</w:t>
      </w:r>
    </w:p>
    <w:p w14:paraId="0B451EC2" w14:textId="47C097C0" w:rsidR="002E70DD" w:rsidRPr="008723C4" w:rsidRDefault="002E70DD" w:rsidP="000A64B1">
      <w:pPr>
        <w:spacing w:after="0" w:line="240" w:lineRule="auto"/>
        <w:ind w:left="567" w:hanging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5.1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blot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” odkrytá karta (viz. 2.3.1) pochází pravděpodobně od německého 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Blatt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= list, </w:t>
      </w:r>
      <w:r w:rsidR="0033092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ale možná také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od starogermánského 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blot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 = odkrytý, nechráněný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.</w:t>
      </w:r>
    </w:p>
    <w:p w14:paraId="21CB5C2B" w14:textId="4AD4A27B" w:rsidR="008239F7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5.</w:t>
      </w:r>
      <w:r w:rsidR="002E70DD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2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Krajíc” Neformální žádost hráče o snížení sázky při prohře.</w:t>
      </w:r>
    </w:p>
    <w:p w14:paraId="3519BB12" w14:textId="77777777" w:rsidR="000A64B1" w:rsidRDefault="004A551C" w:rsidP="000A64B1">
      <w:pPr>
        <w:spacing w:after="0" w:line="240" w:lineRule="auto"/>
        <w:ind w:left="567"/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</w:pPr>
      <w:r w:rsidRP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>Např.</w:t>
      </w:r>
      <w:r w:rsid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 xml:space="preserve"> „</w:t>
      </w:r>
      <w:r w:rsidRP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>Půl krajíce?” znamená žádost o odpuštění poloviny sázky.</w:t>
      </w:r>
    </w:p>
    <w:p w14:paraId="028D1B42" w14:textId="0966500D" w:rsidR="004A551C" w:rsidRPr="008723C4" w:rsidRDefault="004A551C" w:rsidP="000A64B1">
      <w:pPr>
        <w:spacing w:after="0" w:line="240" w:lineRule="auto"/>
        <w:ind w:left="567"/>
        <w:rPr>
          <w:rFonts w:ascii="Gill Sans MT" w:eastAsia="Times New Roman" w:hAnsi="Gill Sans MT" w:cs="Times New Roman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Bankéř může, ale nemusí vyhovět.</w:t>
      </w:r>
    </w:p>
    <w:p w14:paraId="78B2B7A3" w14:textId="77777777" w:rsidR="008239F7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5.</w:t>
      </w:r>
      <w:r w:rsidR="002E70DD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3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Inkoust” znamená kartu s vysokou hodnotou.</w:t>
      </w:r>
    </w:p>
    <w:p w14:paraId="7A5B72D0" w14:textId="1962A723" w:rsidR="004A551C" w:rsidRPr="008239F7" w:rsidRDefault="004A551C" w:rsidP="000A64B1">
      <w:pPr>
        <w:spacing w:after="0" w:line="240" w:lineRule="auto"/>
        <w:ind w:left="567"/>
        <w:rPr>
          <w:rFonts w:ascii="Gill Sans MT" w:eastAsia="Times New Roman" w:hAnsi="Gill Sans MT" w:cs="Times New Roman"/>
          <w:i/>
          <w:iCs/>
          <w:sz w:val="16"/>
          <w:szCs w:val="16"/>
          <w:lang w:eastAsia="cs-CZ"/>
        </w:rPr>
      </w:pPr>
      <w:r w:rsidRP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 xml:space="preserve">Např. </w:t>
      </w:r>
      <w:r w:rsidR="008239F7" w:rsidRP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>„</w:t>
      </w:r>
      <w:r w:rsidRP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>Potřebuji hodně inkoustu.”</w:t>
      </w:r>
    </w:p>
    <w:p w14:paraId="70179DB7" w14:textId="12FCDC6E" w:rsidR="008239F7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5.</w:t>
      </w:r>
      <w:r w:rsidR="002E70DD"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4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  <w:t xml:space="preserve">„Postavit banku“ znamená, že bankéř shromáždí </w:t>
      </w:r>
      <w:r w:rsidR="000A64B1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vysoký bank.</w:t>
      </w:r>
    </w:p>
    <w:p w14:paraId="21508C7A" w14:textId="550A736F" w:rsidR="004A551C" w:rsidRPr="008239F7" w:rsidRDefault="004A551C" w:rsidP="000A64B1">
      <w:pPr>
        <w:spacing w:after="0" w:line="240" w:lineRule="auto"/>
        <w:ind w:left="567"/>
        <w:rPr>
          <w:rFonts w:ascii="Gill Sans MT" w:eastAsia="Times New Roman" w:hAnsi="Gill Sans MT" w:cs="Times New Roman"/>
          <w:i/>
          <w:iCs/>
          <w:sz w:val="16"/>
          <w:szCs w:val="16"/>
          <w:lang w:eastAsia="cs-CZ"/>
        </w:rPr>
      </w:pPr>
      <w:r w:rsidRPr="008239F7">
        <w:rPr>
          <w:rFonts w:ascii="Gill Sans MT" w:eastAsia="Times New Roman" w:hAnsi="Gill Sans MT" w:cs="Arial"/>
          <w:i/>
          <w:iCs/>
          <w:color w:val="000000"/>
          <w:sz w:val="16"/>
          <w:szCs w:val="16"/>
          <w:lang w:eastAsia="cs-CZ"/>
        </w:rPr>
        <w:t>Např. „Postavte mi banku!“</w:t>
      </w:r>
    </w:p>
    <w:p w14:paraId="40B15144" w14:textId="77777777" w:rsidR="008723C4" w:rsidRPr="008723C4" w:rsidRDefault="008723C4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37C76BB8" w14:textId="77777777" w:rsidR="004A551C" w:rsidRPr="008723C4" w:rsidRDefault="004A551C" w:rsidP="008239F7">
      <w:pPr>
        <w:pStyle w:val="Nadpis1"/>
        <w:rPr>
          <w:rFonts w:cs="Times New Roman"/>
        </w:rPr>
      </w:pPr>
      <w:r w:rsidRPr="008723C4">
        <w:t>6. Odkazy</w:t>
      </w:r>
    </w:p>
    <w:p w14:paraId="2BF48D39" w14:textId="77777777" w:rsidR="000A64B1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6.1</w:t>
      </w:r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ab/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McLeod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 xml:space="preserve">, John </w:t>
      </w:r>
      <w:r w:rsidR="008239F7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„</w:t>
      </w:r>
      <w:proofErr w:type="spellStart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Quitlok</w:t>
      </w:r>
      <w:proofErr w:type="spellEnd"/>
      <w:r w:rsidRPr="008723C4">
        <w:rPr>
          <w:rFonts w:ascii="Gill Sans MT" w:eastAsia="Times New Roman" w:hAnsi="Gill Sans MT" w:cs="Arial"/>
          <w:color w:val="000000"/>
          <w:sz w:val="16"/>
          <w:szCs w:val="16"/>
          <w:lang w:eastAsia="cs-CZ"/>
        </w:rPr>
        <w:t>"</w:t>
      </w:r>
    </w:p>
    <w:p w14:paraId="787C4C34" w14:textId="5713C189" w:rsidR="004A551C" w:rsidRPr="00B93F4E" w:rsidRDefault="00330924" w:rsidP="000A64B1">
      <w:pPr>
        <w:spacing w:after="0" w:line="240" w:lineRule="auto"/>
        <w:ind w:left="567"/>
        <w:rPr>
          <w:rFonts w:ascii="Gill Sans MT" w:eastAsia="Times New Roman" w:hAnsi="Gill Sans MT" w:cs="Times New Roman"/>
          <w:i/>
          <w:iCs/>
          <w:sz w:val="16"/>
          <w:szCs w:val="16"/>
          <w:lang w:eastAsia="cs-CZ"/>
        </w:rPr>
      </w:pPr>
      <w:hyperlink r:id="rId5" w:history="1">
        <w:r w:rsidR="004A551C" w:rsidRPr="00B93F4E">
          <w:rPr>
            <w:rFonts w:ascii="Gill Sans MT" w:eastAsia="Times New Roman" w:hAnsi="Gill Sans MT" w:cs="Arial"/>
            <w:i/>
            <w:iCs/>
            <w:sz w:val="16"/>
            <w:szCs w:val="16"/>
            <w:lang w:eastAsia="cs-CZ"/>
          </w:rPr>
          <w:t>https://www.pagat.com/banking/quitlok.html</w:t>
        </w:r>
      </w:hyperlink>
    </w:p>
    <w:p w14:paraId="0D580FAB" w14:textId="77777777" w:rsidR="000A64B1" w:rsidRDefault="004A551C" w:rsidP="000A64B1">
      <w:pPr>
        <w:spacing w:after="0" w:line="240" w:lineRule="auto"/>
        <w:ind w:left="567" w:hanging="567"/>
        <w:rPr>
          <w:rFonts w:ascii="Gill Sans MT" w:eastAsia="Times New Roman" w:hAnsi="Gill Sans MT" w:cs="Arial"/>
          <w:sz w:val="16"/>
          <w:szCs w:val="16"/>
          <w:lang w:eastAsia="cs-CZ"/>
        </w:rPr>
      </w:pPr>
      <w:r w:rsidRPr="008723C4">
        <w:rPr>
          <w:rFonts w:ascii="Gill Sans MT" w:eastAsia="Times New Roman" w:hAnsi="Gill Sans MT" w:cs="Arial"/>
          <w:sz w:val="16"/>
          <w:szCs w:val="16"/>
          <w:lang w:eastAsia="cs-CZ"/>
        </w:rPr>
        <w:t>6.2</w:t>
      </w:r>
      <w:r w:rsidRPr="008723C4">
        <w:rPr>
          <w:rFonts w:ascii="Gill Sans MT" w:eastAsia="Times New Roman" w:hAnsi="Gill Sans MT" w:cs="Arial"/>
          <w:sz w:val="16"/>
          <w:szCs w:val="16"/>
          <w:lang w:eastAsia="cs-CZ"/>
        </w:rPr>
        <w:tab/>
        <w:t xml:space="preserve">Wikipedia, </w:t>
      </w:r>
      <w:proofErr w:type="spellStart"/>
      <w:r w:rsidRPr="008723C4">
        <w:rPr>
          <w:rFonts w:ascii="Gill Sans MT" w:eastAsia="Times New Roman" w:hAnsi="Gill Sans MT" w:cs="Arial"/>
          <w:sz w:val="16"/>
          <w:szCs w:val="16"/>
          <w:lang w:eastAsia="cs-CZ"/>
        </w:rPr>
        <w:t>the</w:t>
      </w:r>
      <w:proofErr w:type="spellEnd"/>
      <w:r w:rsidRPr="008723C4">
        <w:rPr>
          <w:rFonts w:ascii="Gill Sans MT" w:eastAsia="Times New Roman" w:hAnsi="Gill Sans MT" w:cs="Arial"/>
          <w:sz w:val="16"/>
          <w:szCs w:val="16"/>
          <w:lang w:eastAsia="cs-CZ"/>
        </w:rPr>
        <w:t xml:space="preserve"> free </w:t>
      </w:r>
      <w:proofErr w:type="spellStart"/>
      <w:r w:rsidRPr="008723C4">
        <w:rPr>
          <w:rFonts w:ascii="Gill Sans MT" w:eastAsia="Times New Roman" w:hAnsi="Gill Sans MT" w:cs="Arial"/>
          <w:sz w:val="16"/>
          <w:szCs w:val="16"/>
          <w:lang w:eastAsia="cs-CZ"/>
        </w:rPr>
        <w:t>encyclopedia</w:t>
      </w:r>
      <w:proofErr w:type="spellEnd"/>
    </w:p>
    <w:p w14:paraId="53846957" w14:textId="4C339928" w:rsidR="004A551C" w:rsidRPr="00B93F4E" w:rsidRDefault="00330924" w:rsidP="000A64B1">
      <w:pPr>
        <w:spacing w:after="0" w:line="240" w:lineRule="auto"/>
        <w:ind w:left="567"/>
        <w:rPr>
          <w:rStyle w:val="Hypertextovodkaz"/>
          <w:rFonts w:ascii="Gill Sans MT" w:eastAsia="Times New Roman" w:hAnsi="Gill Sans MT" w:cs="Arial"/>
          <w:i/>
          <w:iCs/>
          <w:color w:val="auto"/>
          <w:sz w:val="16"/>
          <w:szCs w:val="16"/>
          <w:u w:val="none"/>
          <w:lang w:eastAsia="cs-CZ"/>
        </w:rPr>
      </w:pPr>
      <w:hyperlink r:id="rId6" w:history="1">
        <w:r w:rsidR="000A64B1" w:rsidRPr="00B93F4E">
          <w:rPr>
            <w:rStyle w:val="Hypertextovodkaz"/>
            <w:rFonts w:ascii="Gill Sans MT" w:eastAsia="Times New Roman" w:hAnsi="Gill Sans MT" w:cs="Arial"/>
            <w:i/>
            <w:iCs/>
            <w:color w:val="auto"/>
            <w:sz w:val="16"/>
            <w:szCs w:val="16"/>
            <w:u w:val="none"/>
            <w:lang w:eastAsia="cs-CZ"/>
          </w:rPr>
          <w:t>https://en.wikipedia.org/wiki/Kvitlech</w:t>
        </w:r>
      </w:hyperlink>
    </w:p>
    <w:p w14:paraId="283AB28C" w14:textId="4F0CD699" w:rsidR="008239F7" w:rsidRPr="008723C4" w:rsidRDefault="008239F7" w:rsidP="004A551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cs-CZ"/>
        </w:rPr>
      </w:pPr>
    </w:p>
    <w:p w14:paraId="46463B22" w14:textId="03090AAE" w:rsidR="008723C4" w:rsidRDefault="008723C4" w:rsidP="008239F7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  <w:r w:rsidRPr="008723C4">
        <w:rPr>
          <w:rFonts w:ascii="Gill Sans MT" w:hAnsi="Gill Sans MT"/>
          <w:sz w:val="16"/>
          <w:szCs w:val="16"/>
        </w:rPr>
        <w:t>Hodně štěstí ve hře</w:t>
      </w:r>
      <w:r w:rsidR="000A64B1">
        <w:rPr>
          <w:rFonts w:ascii="Gill Sans MT" w:hAnsi="Gill Sans MT"/>
          <w:sz w:val="16"/>
          <w:szCs w:val="16"/>
        </w:rPr>
        <w:t>.</w:t>
      </w:r>
    </w:p>
    <w:p w14:paraId="539996E9" w14:textId="086A174A" w:rsidR="000A64B1" w:rsidRDefault="000A64B1" w:rsidP="008239F7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</w:p>
    <w:p w14:paraId="690C304C" w14:textId="77777777" w:rsidR="00330924" w:rsidRDefault="00330924" w:rsidP="008239F7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</w:p>
    <w:p w14:paraId="20671951" w14:textId="4F969853" w:rsidR="008723C4" w:rsidRPr="008723C4" w:rsidRDefault="008723C4" w:rsidP="008239F7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  <w:r w:rsidRPr="008723C4">
        <w:rPr>
          <w:rFonts w:ascii="Gill Sans MT" w:hAnsi="Gill Sans MT"/>
          <w:sz w:val="16"/>
          <w:szCs w:val="16"/>
        </w:rPr>
        <w:t>www.counterclockwise.cz</w:t>
      </w:r>
    </w:p>
    <w:p w14:paraId="6CD0970C" w14:textId="77777777" w:rsidR="008239F7" w:rsidRPr="008723C4" w:rsidRDefault="008239F7" w:rsidP="008239F7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  <w:r w:rsidRPr="008723C4">
        <w:rPr>
          <w:rFonts w:ascii="Gill Sans MT" w:hAnsi="Gill Sans MT"/>
          <w:sz w:val="16"/>
          <w:szCs w:val="16"/>
        </w:rPr>
        <w:t>- 2020 -</w:t>
      </w:r>
    </w:p>
    <w:p w14:paraId="255270D2" w14:textId="66BEF217" w:rsidR="008723C4" w:rsidRPr="008723C4" w:rsidRDefault="008723C4">
      <w:pPr>
        <w:rPr>
          <w:rFonts w:ascii="Gill Sans MT" w:hAnsi="Gill Sans MT"/>
          <w:sz w:val="16"/>
          <w:szCs w:val="16"/>
        </w:rPr>
      </w:pPr>
    </w:p>
    <w:p w14:paraId="465A5956" w14:textId="1E135A0A" w:rsidR="008723C4" w:rsidRDefault="008723C4">
      <w:pPr>
        <w:rPr>
          <w:rFonts w:ascii="Gill Sans MT" w:hAnsi="Gill Sans MT"/>
          <w:sz w:val="16"/>
          <w:szCs w:val="16"/>
        </w:rPr>
      </w:pPr>
    </w:p>
    <w:p w14:paraId="677206AD" w14:textId="1C76FAE9" w:rsidR="00E048A9" w:rsidRDefault="00E048A9">
      <w:pPr>
        <w:rPr>
          <w:rFonts w:ascii="Gill Sans MT" w:hAnsi="Gill Sans MT"/>
          <w:sz w:val="16"/>
          <w:szCs w:val="16"/>
        </w:rPr>
      </w:pPr>
    </w:p>
    <w:p w14:paraId="1B846AE1" w14:textId="77777777" w:rsidR="00E048A9" w:rsidRPr="008723C4" w:rsidRDefault="00E048A9">
      <w:pPr>
        <w:rPr>
          <w:rFonts w:ascii="Gill Sans MT" w:hAnsi="Gill Sans MT"/>
          <w:sz w:val="16"/>
          <w:szCs w:val="16"/>
        </w:rPr>
      </w:pPr>
    </w:p>
    <w:p w14:paraId="3FD4DF94" w14:textId="4204EFFD" w:rsidR="008723C4" w:rsidRPr="008723C4" w:rsidRDefault="00E048A9" w:rsidP="00D842D8">
      <w:pPr>
        <w:rPr>
          <w:rFonts w:ascii="Gill Sans MT" w:eastAsia="Times New Roman" w:hAnsi="Gill Sans MT" w:cs="Arial"/>
          <w:caps/>
          <w:color w:val="000000"/>
          <w:sz w:val="28"/>
          <w:szCs w:val="28"/>
          <w:lang w:eastAsia="cs-CZ"/>
        </w:rPr>
      </w:pPr>
      <w:r>
        <w:rPr>
          <w:rFonts w:ascii="Gill Sans MT" w:eastAsia="Times New Roman" w:hAnsi="Gill Sans MT" w:cs="Arial"/>
          <w:caps/>
          <w:color w:val="000000"/>
          <w:sz w:val="28"/>
          <w:szCs w:val="28"/>
          <w:lang w:eastAsia="cs-CZ"/>
        </w:rPr>
        <w:t xml:space="preserve">                                           </w:t>
      </w:r>
      <w:r w:rsidR="008723C4" w:rsidRPr="008723C4">
        <w:rPr>
          <w:rFonts w:ascii="Gill Sans MT" w:eastAsia="Times New Roman" w:hAnsi="Gill Sans MT" w:cs="Arial"/>
          <w:caps/>
          <w:color w:val="000000"/>
          <w:sz w:val="28"/>
          <w:szCs w:val="28"/>
          <w:lang w:eastAsia="cs-CZ"/>
        </w:rPr>
        <w:t>Kvitlech</w:t>
      </w:r>
    </w:p>
    <w:p w14:paraId="5D04C178" w14:textId="456E40F0" w:rsidR="008723C4" w:rsidRDefault="00E048A9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  <w: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  <w:t xml:space="preserve">                                                                    </w:t>
      </w:r>
      <w:r w:rsidR="008723C4" w:rsidRPr="00D842D8"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  <w:t>pravidla hry</w:t>
      </w:r>
    </w:p>
    <w:p w14:paraId="31BE008B" w14:textId="7F9695C2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4EFC2C7C" w14:textId="5B8C846C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38C10E88" w14:textId="61575571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6E75A850" w14:textId="32C70438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17F99543" w14:textId="5CDFF8AA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17537CFC" w14:textId="77777777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4958166C" w14:textId="4BF31040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46C3413D" w14:textId="4BAAA0C5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6BE676B6" w14:textId="77777777" w:rsidR="004F41D6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</w:p>
    <w:p w14:paraId="698AE64D" w14:textId="4042978B" w:rsidR="004F41D6" w:rsidRPr="005F3170" w:rsidRDefault="004F41D6" w:rsidP="00D842D8">
      <w:pP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</w:pPr>
      <w:r>
        <w:rPr>
          <w:rFonts w:ascii="Gill Sans MT" w:eastAsia="Times New Roman" w:hAnsi="Gill Sans MT" w:cs="Arial"/>
          <w:caps/>
          <w:color w:val="000000"/>
          <w:sz w:val="18"/>
          <w:szCs w:val="18"/>
          <w:lang w:eastAsia="cs-CZ"/>
        </w:rPr>
        <w:t xml:space="preserve">                                                                 </w:t>
      </w:r>
      <w:r>
        <w:rPr>
          <w:rFonts w:ascii="Gill Sans MT" w:eastAsia="Times New Roman" w:hAnsi="Gill Sans MT" w:cs="Times New Roman"/>
          <w:noProof/>
          <w:sz w:val="16"/>
          <w:szCs w:val="16"/>
          <w:lang w:eastAsia="cs-CZ"/>
        </w:rPr>
        <w:drawing>
          <wp:inline distT="0" distB="0" distL="0" distR="0" wp14:anchorId="7E087743" wp14:editId="736EE00F">
            <wp:extent cx="885767" cy="13216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56" cy="13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1D6" w:rsidRPr="005F3170" w:rsidSect="008723C4">
      <w:pgSz w:w="11907" w:h="935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D584E"/>
    <w:multiLevelType w:val="multilevel"/>
    <w:tmpl w:val="D12621A6"/>
    <w:lvl w:ilvl="0"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2D677C39"/>
    <w:multiLevelType w:val="hybridMultilevel"/>
    <w:tmpl w:val="67A49D42"/>
    <w:lvl w:ilvl="0" w:tplc="E2742164">
      <w:start w:val="4"/>
      <w:numFmt w:val="bullet"/>
      <w:lvlText w:val="-"/>
      <w:lvlJc w:val="left"/>
      <w:pPr>
        <w:ind w:left="405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E677073"/>
    <w:multiLevelType w:val="multilevel"/>
    <w:tmpl w:val="8BB07EB0"/>
    <w:lvl w:ilvl="0"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abstractNum w:abstractNumId="3" w15:restartNumberingAfterBreak="0">
    <w:nsid w:val="3154327A"/>
    <w:multiLevelType w:val="hybridMultilevel"/>
    <w:tmpl w:val="21E22FDE"/>
    <w:lvl w:ilvl="0" w:tplc="7D268E00">
      <w:start w:val="4"/>
      <w:numFmt w:val="bullet"/>
      <w:lvlText w:val="-"/>
      <w:lvlJc w:val="left"/>
      <w:pPr>
        <w:ind w:left="405" w:hanging="360"/>
      </w:pPr>
      <w:rPr>
        <w:rFonts w:ascii="Gill Sans MT" w:eastAsiaTheme="minorHAnsi" w:hAnsi="Gill Sans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13842F2"/>
    <w:multiLevelType w:val="multilevel"/>
    <w:tmpl w:val="EDF6BF58"/>
    <w:lvl w:ilvl="0"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5" w15:restartNumberingAfterBreak="0">
    <w:nsid w:val="4F386914"/>
    <w:multiLevelType w:val="multilevel"/>
    <w:tmpl w:val="E388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1C"/>
    <w:rsid w:val="00005782"/>
    <w:rsid w:val="000A64B1"/>
    <w:rsid w:val="001A34BC"/>
    <w:rsid w:val="002E70DD"/>
    <w:rsid w:val="00330924"/>
    <w:rsid w:val="004A551C"/>
    <w:rsid w:val="004F41D6"/>
    <w:rsid w:val="00523728"/>
    <w:rsid w:val="00550754"/>
    <w:rsid w:val="005F3170"/>
    <w:rsid w:val="008239F7"/>
    <w:rsid w:val="008723C4"/>
    <w:rsid w:val="00961BD7"/>
    <w:rsid w:val="00B93F4E"/>
    <w:rsid w:val="00BD36AE"/>
    <w:rsid w:val="00D842D8"/>
    <w:rsid w:val="00E048A9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EF5D"/>
  <w15:chartTrackingRefBased/>
  <w15:docId w15:val="{DD653A74-07B5-4BE0-BCB3-C25E551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39F7"/>
    <w:pPr>
      <w:spacing w:after="60" w:line="240" w:lineRule="auto"/>
      <w:ind w:firstLine="709"/>
      <w:outlineLvl w:val="0"/>
    </w:pPr>
    <w:rPr>
      <w:rFonts w:ascii="Gill Sans MT" w:eastAsia="Times New Roman" w:hAnsi="Gill Sans MT" w:cs="Arial"/>
      <w:b/>
      <w:bCs/>
      <w:color w:val="000000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A551C"/>
  </w:style>
  <w:style w:type="character" w:styleId="Hypertextovodkaz">
    <w:name w:val="Hyperlink"/>
    <w:basedOn w:val="Standardnpsmoodstavce"/>
    <w:uiPriority w:val="99"/>
    <w:unhideWhenUsed/>
    <w:rsid w:val="004A551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551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075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239F7"/>
    <w:rPr>
      <w:rFonts w:ascii="Gill Sans MT" w:eastAsia="Times New Roman" w:hAnsi="Gill Sans MT" w:cs="Arial"/>
      <w:b/>
      <w:bCs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Kvitlech" TargetMode="External"/><Relationship Id="rId5" Type="http://schemas.openxmlformats.org/officeDocument/2006/relationships/hyperlink" Target="https://www.pagat.com/banking/quitl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Brejcha</dc:creator>
  <cp:keywords/>
  <dc:description/>
  <cp:lastModifiedBy>Marek Brejcha</cp:lastModifiedBy>
  <cp:revision>9</cp:revision>
  <cp:lastPrinted>2020-09-14T05:51:00Z</cp:lastPrinted>
  <dcterms:created xsi:type="dcterms:W3CDTF">2020-09-14T05:49:00Z</dcterms:created>
  <dcterms:modified xsi:type="dcterms:W3CDTF">2020-10-09T05:55:00Z</dcterms:modified>
</cp:coreProperties>
</file>